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E3169" w:rsidTr="002E3169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3169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EEEEEE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3169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9" w:rightFromText="9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3169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316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2E3169" w:rsidRDefault="002E3169">
                                    <w:pPr>
                                      <w:spacing w:line="48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Beste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Senior,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Heeft u een zorgverzekeraar die u helpt om zo lang mogelijk uw eigen leven te blijven leiden in uw eigen huis? Steeds meer verzekeraars hebben hier aandacht voor.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Bij vragen rondom zorg en ook over lekker blijven wonen, kun je gratis een beroep doen op een onafhankelijk cliëntondersteuner. Maar dat is nog bij weinig mensen bekend.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En wie lekker thuis wil blijven wonen met een partner met dementie, kan straks misschien enorm geholpen zijn met een wel heel bijzondere spiegel…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Lees het in de decembernieuwsbrief Lekker blijven Wonen van 2018.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(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zie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link: Lekker Blijven Wonen)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De nieuwsbrief verschijnt vier keer per jaar met nieuws en interviews over ontwikkelingen en ervaringen op het gebied van toekomstbestendig wonen. U ontvangt deze nieuwsbrief van uw gemeente vanwege uw interesse in dit onderwerp (persoonlijk of vakmatig).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Wij hopen dat u de nieuwsbrief met veel plezier zult lezen.</w:t>
                                    </w:r>
                                  </w:p>
                                </w:tc>
                              </w:tr>
                            </w:tbl>
                            <w:p w:rsidR="002E3169" w:rsidRDefault="002E316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3169" w:rsidRDefault="002E316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3169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E3169"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E3169" w:rsidRDefault="002E3169">
                              <w:r>
                                <w:rPr>
                                  <w:rFonts w:eastAsia="Times New Roman"/>
                                  <w:sz w:val="36"/>
                                  <w:szCs w:val="36"/>
                                </w:rPr>
                                <w:t>Gratis onafhankelijke cliëntondersteuning</w:t>
                              </w:r>
                            </w:p>
                          </w:tc>
                        </w:tr>
                      </w:tbl>
                      <w:p w:rsidR="002E3169" w:rsidRDefault="002E316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3169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9" w:rightFromText="9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3169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316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2E3169" w:rsidRDefault="002E3169">
                                    <w:pPr>
                                      <w:pStyle w:val="Kop3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3169" w:rsidRDefault="002E316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3169" w:rsidRDefault="002E316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3169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3169">
                          <w:tc>
                            <w:tcPr>
                              <w:tcW w:w="0" w:type="auto"/>
                              <w:hideMark/>
                            </w:tcPr>
                            <w:p w:rsidR="002E3169" w:rsidRDefault="002E3169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2E3169" w:rsidRDefault="002E316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3169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9" w:rightFromText="9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3169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316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2E3169" w:rsidRDefault="002E3169">
                                    <w:pPr>
                                      <w:spacing w:line="48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De zoektocht naar voorzieningen om zo lang mogelijk in je eigen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huis  te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blijven wonen, kan soms ingewikkeld zijn. Een gratis onafhankelijke cliëntondersteuner wijst je graag de weg. Nog te weinig mensen kennen deze mogelijkheid die elk gemeente aan haar inwoners biedt.</w:t>
                                    </w:r>
                                  </w:p>
                                </w:tc>
                              </w:tr>
                            </w:tbl>
                            <w:p w:rsidR="002E3169" w:rsidRDefault="002E316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3169" w:rsidRDefault="002E316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3169" w:rsidRDefault="002E3169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3169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29806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E316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29806D"/>
                              <w:tcMar>
                                <w:top w:w="210" w:type="dxa"/>
                                <w:left w:w="210" w:type="dxa"/>
                                <w:bottom w:w="210" w:type="dxa"/>
                                <w:right w:w="210" w:type="dxa"/>
                              </w:tcMar>
                              <w:vAlign w:val="center"/>
                              <w:hideMark/>
                            </w:tcPr>
                            <w:p w:rsidR="002E3169" w:rsidRDefault="002E3169" w:rsidP="002E316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2E3169" w:rsidRDefault="002E3169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3169" w:rsidRDefault="002E3169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3169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E3169"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E3169" w:rsidRDefault="002E3169"/>
                          </w:tc>
                        </w:tr>
                      </w:tbl>
                      <w:p w:rsidR="002E3169" w:rsidRDefault="002E316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3169" w:rsidRDefault="002E31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2E3169" w:rsidRDefault="002E31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7025B" w:rsidRDefault="0007025B"/>
    <w:sectPr w:rsidR="0007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9"/>
    <w:rsid w:val="0007025B"/>
    <w:rsid w:val="002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9FD"/>
  <w15:chartTrackingRefBased/>
  <w15:docId w15:val="{174F6FEB-367C-48C2-9566-1FCB4B7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E316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2E3169"/>
    <w:pPr>
      <w:spacing w:line="300" w:lineRule="auto"/>
      <w:outlineLvl w:val="2"/>
    </w:pPr>
    <w:rPr>
      <w:rFonts w:ascii="Arial" w:hAnsi="Arial" w:cs="Arial"/>
      <w:b/>
      <w:bCs/>
      <w:color w:val="522775"/>
      <w:sz w:val="27"/>
      <w:szCs w:val="27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2E3169"/>
    <w:pPr>
      <w:spacing w:line="480" w:lineRule="auto"/>
      <w:outlineLvl w:val="3"/>
    </w:pPr>
    <w:rPr>
      <w:rFonts w:ascii="Arial" w:hAnsi="Arial" w:cs="Arial"/>
      <w:color w:val="2222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2E3169"/>
    <w:rPr>
      <w:rFonts w:ascii="Arial" w:hAnsi="Arial" w:cs="Arial"/>
      <w:b/>
      <w:bCs/>
      <w:color w:val="522775"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3169"/>
    <w:rPr>
      <w:rFonts w:ascii="Arial" w:hAnsi="Arial" w:cs="Arial"/>
      <w:color w:val="222222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E3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 Bosch</dc:creator>
  <cp:keywords/>
  <dc:description/>
  <cp:lastModifiedBy>A.J.M. Bosch</cp:lastModifiedBy>
  <cp:revision>1</cp:revision>
  <dcterms:created xsi:type="dcterms:W3CDTF">2018-12-31T11:27:00Z</dcterms:created>
  <dcterms:modified xsi:type="dcterms:W3CDTF">2018-12-31T11:36:00Z</dcterms:modified>
</cp:coreProperties>
</file>