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4FB9" w14:textId="5987AA2B" w:rsidR="00783394" w:rsidRPr="00595669" w:rsidRDefault="00595669" w:rsidP="00783394">
      <w:pPr>
        <w:shd w:val="clear" w:color="auto" w:fill="FFFFFF"/>
        <w:spacing w:before="100" w:beforeAutospacing="1" w:after="100" w:afterAutospacing="1" w:line="240" w:lineRule="auto"/>
        <w:rPr>
          <w:rFonts w:eastAsia="Times New Roman" w:cstheme="minorHAnsi"/>
          <w:color w:val="2D2D2D"/>
          <w:sz w:val="24"/>
          <w:szCs w:val="24"/>
          <w:lang w:eastAsia="nl-NL"/>
        </w:rPr>
      </w:pPr>
      <w:r w:rsidRPr="00830B79">
        <w:rPr>
          <w:rFonts w:eastAsia="Times New Roman" w:cstheme="minorHAnsi"/>
          <w:b/>
          <w:bCs/>
          <w:color w:val="2D2D2D"/>
          <w:sz w:val="28"/>
          <w:szCs w:val="28"/>
          <w:u w:val="single"/>
          <w:lang w:eastAsia="nl-NL"/>
        </w:rPr>
        <w:t>Fondsen verhogen pensioen.</w:t>
      </w:r>
      <w:r>
        <w:rPr>
          <w:rFonts w:eastAsia="Times New Roman" w:cstheme="minorHAnsi"/>
          <w:b/>
          <w:bCs/>
          <w:color w:val="2D2D2D"/>
          <w:sz w:val="28"/>
          <w:szCs w:val="28"/>
          <w:lang w:eastAsia="nl-NL"/>
        </w:rPr>
        <w:t xml:space="preserve">                                                                                </w:t>
      </w:r>
      <w:r w:rsidR="00783394" w:rsidRPr="00595669">
        <w:rPr>
          <w:rFonts w:eastAsia="Times New Roman" w:cstheme="minorHAnsi"/>
          <w:color w:val="2D2D2D"/>
          <w:sz w:val="24"/>
          <w:szCs w:val="24"/>
          <w:lang w:eastAsia="nl-NL"/>
        </w:rPr>
        <w:t>Pensioenfonds PME heeft als eerste bekend gemaakt dat de pensioenen worden verhoogd. Meer fondsen zullen volgen. </w:t>
      </w:r>
      <w:hyperlink r:id="rId5" w:tgtFrame="_blank" w:history="1">
        <w:r w:rsidR="00783394" w:rsidRPr="00595669">
          <w:rPr>
            <w:rFonts w:eastAsia="Times New Roman" w:cstheme="minorHAnsi"/>
            <w:sz w:val="24"/>
            <w:szCs w:val="24"/>
            <w:lang w:eastAsia="nl-NL"/>
          </w:rPr>
          <w:t>PME</w:t>
        </w:r>
      </w:hyperlink>
      <w:r w:rsidR="00783394" w:rsidRPr="00595669">
        <w:rPr>
          <w:rFonts w:eastAsia="Times New Roman" w:cstheme="minorHAnsi"/>
          <w:color w:val="2D2D2D"/>
          <w:sz w:val="24"/>
          <w:szCs w:val="24"/>
          <w:lang w:eastAsia="nl-NL"/>
        </w:rPr>
        <w:t> verhoogt alle pensioenen, ook die van mensen die nog niet met pensioen zijn, per 1 juli 2022 met 1,29%. Om de pensioenen op 1 juli 2022 onder de versoepelde regels te kunnen verhogen, moet de beleidsdekkingsgraad (de gemiddelde dekkingsgraad over de afgelopen 12 maanden) hoger zijn dan 105% (was 110%). Eind mei bedroeg die bij PME ruim 107%. En </w:t>
      </w:r>
      <w:hyperlink r:id="rId6" w:tgtFrame="_blank" w:history="1">
        <w:r w:rsidR="00783394" w:rsidRPr="002D6162">
          <w:rPr>
            <w:rFonts w:eastAsia="Times New Roman" w:cstheme="minorHAnsi"/>
            <w:sz w:val="24"/>
            <w:szCs w:val="24"/>
            <w:lang w:eastAsia="nl-NL"/>
          </w:rPr>
          <w:t>ABP</w:t>
        </w:r>
      </w:hyperlink>
      <w:r w:rsidR="00783394" w:rsidRPr="00595669">
        <w:rPr>
          <w:rFonts w:eastAsia="Times New Roman" w:cstheme="minorHAnsi"/>
          <w:color w:val="2D2D2D"/>
          <w:sz w:val="24"/>
          <w:szCs w:val="24"/>
          <w:lang w:eastAsia="nl-NL"/>
        </w:rPr>
        <w:t> verhoogt de pensioenen met 2,39% per 1 juli. Bovendien vindt er bij ABP een nabetaling plaats van 1,2% over de eerste 6 maanden van 2021. Ook </w:t>
      </w:r>
      <w:hyperlink r:id="rId7" w:tgtFrame="_blank" w:history="1">
        <w:r w:rsidR="00783394" w:rsidRPr="00E3374A">
          <w:rPr>
            <w:rFonts w:eastAsia="Times New Roman" w:cstheme="minorHAnsi"/>
            <w:sz w:val="24"/>
            <w:szCs w:val="24"/>
            <w:lang w:eastAsia="nl-NL"/>
          </w:rPr>
          <w:t>PFZW</w:t>
        </w:r>
      </w:hyperlink>
      <w:r w:rsidR="00783394" w:rsidRPr="00E3374A">
        <w:rPr>
          <w:rFonts w:eastAsia="Times New Roman" w:cstheme="minorHAnsi"/>
          <w:sz w:val="24"/>
          <w:szCs w:val="24"/>
          <w:lang w:eastAsia="nl-NL"/>
        </w:rPr>
        <w:t> </w:t>
      </w:r>
      <w:r w:rsidR="00783394" w:rsidRPr="00595669">
        <w:rPr>
          <w:rFonts w:eastAsia="Times New Roman" w:cstheme="minorHAnsi"/>
          <w:color w:val="2D2D2D"/>
          <w:sz w:val="24"/>
          <w:szCs w:val="24"/>
          <w:lang w:eastAsia="nl-NL"/>
        </w:rPr>
        <w:t>neemt nog deze week een besluit over indexatie. Of </w:t>
      </w:r>
      <w:hyperlink r:id="rId8" w:tgtFrame="_blank" w:history="1">
        <w:r w:rsidR="00783394" w:rsidRPr="00E3374A">
          <w:rPr>
            <w:rFonts w:eastAsia="Times New Roman" w:cstheme="minorHAnsi"/>
            <w:sz w:val="24"/>
            <w:szCs w:val="24"/>
            <w:lang w:eastAsia="nl-NL"/>
          </w:rPr>
          <w:t>PMT</w:t>
        </w:r>
      </w:hyperlink>
      <w:r w:rsidR="00783394" w:rsidRPr="00595669">
        <w:rPr>
          <w:rFonts w:eastAsia="Times New Roman" w:cstheme="minorHAnsi"/>
          <w:color w:val="2D2D2D"/>
          <w:sz w:val="24"/>
          <w:szCs w:val="24"/>
          <w:lang w:eastAsia="nl-NL"/>
        </w:rPr>
        <w:t> gaat indexeren wordt 5 juli bekend.</w:t>
      </w:r>
    </w:p>
    <w:p w14:paraId="7F6B4DD6" w14:textId="77777777" w:rsidR="00783394" w:rsidRPr="00595669" w:rsidRDefault="00783394" w:rsidP="00783394">
      <w:pPr>
        <w:shd w:val="clear" w:color="auto" w:fill="FFFFFF"/>
        <w:spacing w:before="100" w:beforeAutospacing="1" w:after="100" w:afterAutospacing="1" w:line="240" w:lineRule="auto"/>
        <w:rPr>
          <w:rFonts w:eastAsia="Times New Roman" w:cstheme="minorHAnsi"/>
          <w:color w:val="2D2D2D"/>
          <w:sz w:val="24"/>
          <w:szCs w:val="24"/>
          <w:lang w:eastAsia="nl-NL"/>
        </w:rPr>
      </w:pPr>
      <w:r w:rsidRPr="00595669">
        <w:rPr>
          <w:rFonts w:eastAsia="Times New Roman" w:cstheme="minorHAnsi"/>
          <w:b/>
          <w:bCs/>
          <w:color w:val="2D2D2D"/>
          <w:sz w:val="24"/>
          <w:szCs w:val="24"/>
          <w:lang w:eastAsia="nl-NL"/>
        </w:rPr>
        <w:t>UPDATE:</w:t>
      </w:r>
      <w:r w:rsidRPr="00595669">
        <w:rPr>
          <w:rFonts w:eastAsia="Times New Roman" w:cstheme="minorHAnsi"/>
          <w:color w:val="2D2D2D"/>
          <w:sz w:val="24"/>
          <w:szCs w:val="24"/>
          <w:lang w:eastAsia="nl-NL"/>
        </w:rPr>
        <w:t> </w:t>
      </w:r>
      <w:hyperlink r:id="rId9" w:tgtFrame="_blank" w:history="1">
        <w:r w:rsidRPr="00E3374A">
          <w:rPr>
            <w:rFonts w:eastAsia="Times New Roman" w:cstheme="minorHAnsi"/>
            <w:sz w:val="24"/>
            <w:szCs w:val="24"/>
            <w:lang w:eastAsia="nl-NL"/>
          </w:rPr>
          <w:t>PFZW</w:t>
        </w:r>
      </w:hyperlink>
      <w:r w:rsidRPr="00595669">
        <w:rPr>
          <w:rFonts w:eastAsia="Times New Roman" w:cstheme="minorHAnsi"/>
          <w:color w:val="2D2D2D"/>
          <w:sz w:val="24"/>
          <w:szCs w:val="24"/>
          <w:lang w:eastAsia="nl-NL"/>
        </w:rPr>
        <w:t> verhoogt de pensioen met 2,7% per 1 oktober 2022.</w:t>
      </w:r>
    </w:p>
    <w:p w14:paraId="5E9C275D" w14:textId="11E54EA2" w:rsidR="00783394" w:rsidRPr="00830B79" w:rsidRDefault="00783394" w:rsidP="00830B79">
      <w:pPr>
        <w:shd w:val="clear" w:color="auto" w:fill="FFFFFF"/>
        <w:spacing w:after="0" w:line="240" w:lineRule="auto"/>
        <w:rPr>
          <w:rFonts w:eastAsia="Times New Roman" w:cstheme="minorHAnsi"/>
          <w:color w:val="2D2D2D"/>
          <w:sz w:val="24"/>
          <w:szCs w:val="24"/>
          <w:lang w:eastAsia="nl-NL"/>
        </w:rPr>
      </w:pPr>
      <w:r w:rsidRPr="00830B79">
        <w:rPr>
          <w:rFonts w:eastAsia="Times New Roman" w:cstheme="minorHAnsi"/>
          <w:b/>
          <w:bCs/>
          <w:color w:val="2D2D2D"/>
          <w:kern w:val="36"/>
          <w:sz w:val="28"/>
          <w:szCs w:val="28"/>
          <w:u w:val="single"/>
          <w:lang w:eastAsia="nl-NL"/>
        </w:rPr>
        <w:t>Honderden miljoenen aan pensioen niet uitgekeerd</w:t>
      </w:r>
      <w:r w:rsidR="00830B79" w:rsidRPr="00830B79">
        <w:rPr>
          <w:rFonts w:eastAsia="Times New Roman" w:cstheme="minorHAnsi"/>
          <w:b/>
          <w:bCs/>
          <w:color w:val="2D2D2D"/>
          <w:kern w:val="36"/>
          <w:sz w:val="28"/>
          <w:szCs w:val="28"/>
          <w:u w:val="single"/>
          <w:lang w:eastAsia="nl-NL"/>
        </w:rPr>
        <w:t xml:space="preserve"> </w:t>
      </w:r>
      <w:r w:rsidR="00830B79">
        <w:rPr>
          <w:rFonts w:eastAsia="Times New Roman" w:cstheme="minorHAnsi"/>
          <w:color w:val="2D2D2D"/>
          <w:kern w:val="36"/>
          <w:sz w:val="28"/>
          <w:szCs w:val="28"/>
          <w:lang w:eastAsia="nl-NL"/>
        </w:rPr>
        <w:t xml:space="preserve">                                                 </w:t>
      </w:r>
      <w:r w:rsidRPr="00830B79">
        <w:rPr>
          <w:rFonts w:eastAsia="Times New Roman" w:cstheme="minorHAnsi"/>
          <w:color w:val="2D2D2D"/>
          <w:sz w:val="24"/>
          <w:szCs w:val="24"/>
          <w:lang w:eastAsia="nl-NL"/>
        </w:rPr>
        <w:t>Honderden miljoenen euro's van 'onvindbare' gepensioneerden blijven liggen bij pensioenfondsen. Dat meldt </w:t>
      </w:r>
      <w:hyperlink r:id="rId10" w:history="1">
        <w:r w:rsidR="00830B79" w:rsidRPr="00830B79">
          <w:rPr>
            <w:rStyle w:val="Hyperlink"/>
            <w:rFonts w:eastAsia="Times New Roman" w:cstheme="minorHAnsi"/>
            <w:color w:val="auto"/>
            <w:sz w:val="24"/>
            <w:szCs w:val="24"/>
            <w:u w:val="none"/>
            <w:lang w:eastAsia="nl-NL"/>
          </w:rPr>
          <w:t>www.taxlive.nl</w:t>
        </w:r>
      </w:hyperlink>
      <w:r w:rsidRPr="00830B79">
        <w:rPr>
          <w:rFonts w:eastAsia="Times New Roman" w:cstheme="minorHAnsi"/>
          <w:color w:val="2D2D2D"/>
          <w:sz w:val="24"/>
          <w:szCs w:val="24"/>
          <w:lang w:eastAsia="nl-NL"/>
        </w:rPr>
        <w:t xml:space="preserve"> op basis van informatie van De Telegraaf en het ABP. Het gaat om pensioen dat niet is aangevraagd en daardoor niet kan worden uitgekeerd. Pensioenfondsen gaan actief opzoek, maar slagen er niet altijd in om de gepensioneerde te vinden, bijvoorbeeld door verhuizing naar het buitenland. Bij ABP gaat het om 19.000 gepensioneerden waarvoor € 300 miljoen klaarligt. Zo zijn er mensen die tijdens hun studie als </w:t>
      </w:r>
      <w:r w:rsidR="001D2E1D" w:rsidRPr="00830B79">
        <w:rPr>
          <w:rFonts w:eastAsia="Times New Roman" w:cstheme="minorHAnsi"/>
          <w:color w:val="2D2D2D"/>
          <w:sz w:val="24"/>
          <w:szCs w:val="24"/>
          <w:lang w:eastAsia="nl-NL"/>
        </w:rPr>
        <w:t>student-assistent</w:t>
      </w:r>
      <w:r w:rsidRPr="00830B79">
        <w:rPr>
          <w:rFonts w:eastAsia="Times New Roman" w:cstheme="minorHAnsi"/>
          <w:color w:val="2D2D2D"/>
          <w:sz w:val="24"/>
          <w:szCs w:val="24"/>
          <w:lang w:eastAsia="nl-NL"/>
        </w:rPr>
        <w:t xml:space="preserve"> hebben gewerkt en pensioen hebben opgebouwd, maar dat niet weten.</w:t>
      </w:r>
    </w:p>
    <w:p w14:paraId="279EFFA4" w14:textId="77777777" w:rsidR="00783394" w:rsidRPr="005B62BF" w:rsidRDefault="00783394" w:rsidP="00783394">
      <w:pPr>
        <w:shd w:val="clear" w:color="auto" w:fill="FFFFFF"/>
        <w:spacing w:before="100" w:beforeAutospacing="1" w:after="100" w:afterAutospacing="1" w:line="240" w:lineRule="auto"/>
        <w:rPr>
          <w:rFonts w:ascii="Arial" w:eastAsia="Times New Roman" w:hAnsi="Arial" w:cs="Arial"/>
          <w:b/>
          <w:bCs/>
          <w:color w:val="2D2D2D"/>
          <w:sz w:val="20"/>
          <w:szCs w:val="20"/>
          <w:lang w:eastAsia="nl-NL"/>
        </w:rPr>
      </w:pPr>
      <w:r w:rsidRPr="005B62BF">
        <w:rPr>
          <w:rFonts w:ascii="Arial" w:eastAsia="Times New Roman" w:hAnsi="Arial" w:cs="Arial"/>
          <w:b/>
          <w:bCs/>
          <w:color w:val="2D2D2D"/>
          <w:sz w:val="20"/>
          <w:szCs w:val="20"/>
          <w:lang w:eastAsia="nl-NL"/>
        </w:rPr>
        <w:t>Als u niet meer weet of en zo ja waar u in het verleden pensioen heeft opgebouwd, neemt u dan contact op met de servicedesk van </w:t>
      </w:r>
      <w:hyperlink r:id="rId11" w:tgtFrame="_blank" w:history="1">
        <w:r w:rsidRPr="005B62BF">
          <w:rPr>
            <w:rFonts w:ascii="Arial" w:eastAsia="Times New Roman" w:hAnsi="Arial" w:cs="Arial"/>
            <w:b/>
            <w:bCs/>
            <w:sz w:val="20"/>
            <w:szCs w:val="20"/>
            <w:lang w:eastAsia="nl-NL"/>
          </w:rPr>
          <w:t>Mijnpensioenoverzicht.nl</w:t>
        </w:r>
      </w:hyperlink>
      <w:r w:rsidRPr="005B62BF">
        <w:rPr>
          <w:rFonts w:ascii="Arial" w:eastAsia="Times New Roman" w:hAnsi="Arial" w:cs="Arial"/>
          <w:b/>
          <w:bCs/>
          <w:sz w:val="20"/>
          <w:szCs w:val="20"/>
          <w:lang w:eastAsia="nl-NL"/>
        </w:rPr>
        <w:t>.</w:t>
      </w:r>
      <w:r w:rsidRPr="005B62BF">
        <w:rPr>
          <w:rFonts w:ascii="Arial" w:eastAsia="Times New Roman" w:hAnsi="Arial" w:cs="Arial"/>
          <w:b/>
          <w:bCs/>
          <w:color w:val="2D2D2D"/>
          <w:sz w:val="20"/>
          <w:szCs w:val="20"/>
          <w:lang w:eastAsia="nl-NL"/>
        </w:rPr>
        <w:t xml:space="preserve"> U kunt de Servicedesk bereiken via telefoonnummer 020-7512870 of via het e-mailadres</w:t>
      </w:r>
      <w:r w:rsidRPr="005B62BF">
        <w:rPr>
          <w:rFonts w:ascii="Arial" w:eastAsia="Times New Roman" w:hAnsi="Arial" w:cs="Arial"/>
          <w:b/>
          <w:bCs/>
          <w:sz w:val="20"/>
          <w:szCs w:val="20"/>
          <w:lang w:eastAsia="nl-NL"/>
        </w:rPr>
        <w:t> </w:t>
      </w:r>
      <w:hyperlink r:id="rId12" w:history="1">
        <w:r w:rsidRPr="005B62BF">
          <w:rPr>
            <w:rFonts w:ascii="Arial" w:eastAsia="Times New Roman" w:hAnsi="Arial" w:cs="Arial"/>
            <w:b/>
            <w:bCs/>
            <w:sz w:val="20"/>
            <w:szCs w:val="20"/>
            <w:lang w:eastAsia="nl-NL"/>
          </w:rPr>
          <w:t>info@mijnpensioenoverzicht.nl</w:t>
        </w:r>
      </w:hyperlink>
      <w:r w:rsidRPr="005B62BF">
        <w:rPr>
          <w:rFonts w:ascii="Arial" w:eastAsia="Times New Roman" w:hAnsi="Arial" w:cs="Arial"/>
          <w:b/>
          <w:bCs/>
          <w:sz w:val="20"/>
          <w:szCs w:val="20"/>
          <w:lang w:eastAsia="nl-NL"/>
        </w:rPr>
        <w:t>.</w:t>
      </w:r>
    </w:p>
    <w:p w14:paraId="47A95601" w14:textId="2306BEA3" w:rsidR="00783394" w:rsidRPr="00347A6D" w:rsidRDefault="00783394" w:rsidP="00347A6D">
      <w:pPr>
        <w:pStyle w:val="Kop1"/>
        <w:shd w:val="clear" w:color="auto" w:fill="FFFFFF"/>
        <w:spacing w:before="0" w:beforeAutospacing="0" w:after="300" w:afterAutospacing="0"/>
        <w:rPr>
          <w:rFonts w:asciiTheme="minorHAnsi" w:hAnsiTheme="minorHAnsi" w:cstheme="minorHAnsi"/>
          <w:b w:val="0"/>
          <w:bCs w:val="0"/>
          <w:color w:val="2D2D2D"/>
          <w:sz w:val="24"/>
          <w:szCs w:val="24"/>
        </w:rPr>
      </w:pPr>
      <w:r w:rsidRPr="00347A6D">
        <w:rPr>
          <w:rFonts w:asciiTheme="minorHAnsi" w:hAnsiTheme="minorHAnsi" w:cstheme="minorHAnsi"/>
          <w:color w:val="2D2D2D"/>
          <w:sz w:val="24"/>
          <w:szCs w:val="24"/>
          <w:u w:val="single"/>
        </w:rPr>
        <w:t>Meerdere pensioenen? Voorkom naheffing!</w:t>
      </w:r>
      <w:r w:rsidR="00347A6D">
        <w:rPr>
          <w:rFonts w:asciiTheme="minorHAnsi" w:hAnsiTheme="minorHAnsi" w:cstheme="minorHAnsi"/>
          <w:color w:val="2D2D2D"/>
          <w:sz w:val="24"/>
          <w:szCs w:val="24"/>
          <w:u w:val="single"/>
        </w:rPr>
        <w:t xml:space="preserve">                                                                                 </w:t>
      </w:r>
      <w:r w:rsidRPr="00347A6D">
        <w:rPr>
          <w:rFonts w:asciiTheme="minorHAnsi" w:hAnsiTheme="minorHAnsi" w:cstheme="minorHAnsi"/>
          <w:b w:val="0"/>
          <w:bCs w:val="0"/>
          <w:color w:val="2D2D2D"/>
          <w:sz w:val="24"/>
          <w:szCs w:val="24"/>
        </w:rPr>
        <w:t>Wie meerdere pensioenuitkeringen heeft, loopt de kans op een naheffing. Elke uitkeringsinstantie doet namelijk alsof er geen andere pensioenen zijn, waardoor in veel gevallen te weinig belasting wordt afgedragen en de pensioengerechtigde netto te veel op de bankrekening krijgt gestort. Dit wordt rechtgetrokken bij de aangifte, maar dat betekent vaak dat er moet worden bijbetaald. Zeker als je net met pensioen bent, kan dit een onverwachte ‘verrassing’ zijn.</w:t>
      </w:r>
    </w:p>
    <w:p w14:paraId="46554518" w14:textId="578A034C" w:rsidR="00783394" w:rsidRPr="00347A6D" w:rsidRDefault="00783394" w:rsidP="00783394">
      <w:pPr>
        <w:pStyle w:val="Normaalweb"/>
        <w:shd w:val="clear" w:color="auto" w:fill="FFFFFF"/>
        <w:rPr>
          <w:rFonts w:asciiTheme="minorHAnsi" w:hAnsiTheme="minorHAnsi" w:cstheme="minorHAnsi"/>
          <w:color w:val="2D2D2D"/>
        </w:rPr>
      </w:pPr>
      <w:r w:rsidRPr="00347A6D">
        <w:rPr>
          <w:rStyle w:val="Zwaar"/>
          <w:rFonts w:asciiTheme="minorHAnsi" w:hAnsiTheme="minorHAnsi" w:cstheme="minorHAnsi"/>
          <w:b w:val="0"/>
          <w:bCs w:val="0"/>
          <w:color w:val="2D2D2D"/>
        </w:rPr>
        <w:t>Wilt u niet achteraf bijbetalen? Vraag dan een voorlopige aanslag aan via</w:t>
      </w:r>
      <w:r w:rsidR="00347A6D">
        <w:rPr>
          <w:rStyle w:val="Zwaar"/>
          <w:rFonts w:asciiTheme="minorHAnsi" w:hAnsiTheme="minorHAnsi" w:cstheme="minorHAnsi"/>
          <w:b w:val="0"/>
          <w:bCs w:val="0"/>
          <w:color w:val="2D2D2D"/>
        </w:rPr>
        <w:t xml:space="preserve"> </w:t>
      </w:r>
      <w:r w:rsidRPr="00347A6D">
        <w:rPr>
          <w:rStyle w:val="Zwaar"/>
          <w:rFonts w:asciiTheme="minorHAnsi" w:hAnsiTheme="minorHAnsi" w:cstheme="minorHAnsi"/>
          <w:color w:val="2D2D2D"/>
          <w:u w:val="single"/>
        </w:rPr>
        <w:t>Mijn Belastingdienst</w:t>
      </w:r>
      <w:r w:rsidRPr="00347A6D">
        <w:rPr>
          <w:rStyle w:val="Zwaar"/>
          <w:rFonts w:asciiTheme="minorHAnsi" w:hAnsiTheme="minorHAnsi" w:cstheme="minorHAnsi"/>
          <w:b w:val="0"/>
          <w:bCs w:val="0"/>
          <w:color w:val="2D2D2D"/>
        </w:rPr>
        <w:t> en laat de heffingskortingen door slechts één (of geen!) van de uitkeringsinstanties toepassen. Neem hiervoor contact op met uw uitkeringsinstantie.</w:t>
      </w:r>
    </w:p>
    <w:p w14:paraId="59508D25" w14:textId="261E09B0" w:rsidR="00783394" w:rsidRPr="00137FB4" w:rsidRDefault="00347A6D" w:rsidP="00137FB4">
      <w:pPr>
        <w:pStyle w:val="Kop1"/>
        <w:shd w:val="clear" w:color="auto" w:fill="FFFFFF"/>
        <w:spacing w:before="0" w:beforeAutospacing="0" w:after="300" w:afterAutospacing="0"/>
        <w:rPr>
          <w:rFonts w:asciiTheme="minorHAnsi" w:hAnsiTheme="minorHAnsi" w:cstheme="minorHAnsi"/>
          <w:b w:val="0"/>
          <w:bCs w:val="0"/>
          <w:color w:val="2D2D2D"/>
          <w:sz w:val="28"/>
          <w:szCs w:val="28"/>
          <w:u w:val="single"/>
        </w:rPr>
      </w:pPr>
      <w:r w:rsidRPr="0077706C">
        <w:rPr>
          <w:rFonts w:asciiTheme="minorHAnsi" w:hAnsiTheme="minorHAnsi" w:cstheme="minorHAnsi"/>
          <w:color w:val="2D2D2D"/>
          <w:sz w:val="28"/>
          <w:szCs w:val="28"/>
          <w:u w:val="single"/>
        </w:rPr>
        <w:t>D</w:t>
      </w:r>
      <w:r w:rsidR="00783394" w:rsidRPr="0077706C">
        <w:rPr>
          <w:rFonts w:asciiTheme="minorHAnsi" w:hAnsiTheme="minorHAnsi" w:cstheme="minorHAnsi"/>
          <w:color w:val="2D2D2D"/>
          <w:sz w:val="28"/>
          <w:szCs w:val="28"/>
          <w:u w:val="single"/>
        </w:rPr>
        <w:t>ekkingsgraden grote pensioenfondsen sterk gestegen</w:t>
      </w:r>
      <w:r w:rsidR="00137FB4">
        <w:rPr>
          <w:rFonts w:asciiTheme="minorHAnsi" w:hAnsiTheme="minorHAnsi" w:cstheme="minorHAnsi"/>
          <w:color w:val="2D2D2D"/>
          <w:sz w:val="28"/>
          <w:szCs w:val="28"/>
          <w:u w:val="single"/>
        </w:rPr>
        <w:t xml:space="preserve">.                                               </w:t>
      </w:r>
      <w:r w:rsidR="00783394" w:rsidRPr="00137FB4">
        <w:rPr>
          <w:rFonts w:asciiTheme="minorHAnsi" w:hAnsiTheme="minorHAnsi" w:cstheme="minorHAnsi"/>
          <w:b w:val="0"/>
          <w:bCs w:val="0"/>
          <w:sz w:val="24"/>
          <w:szCs w:val="24"/>
        </w:rPr>
        <w:t>De pensioenfondsen hebben een goed beleggingsjaar achter de rug. De hogere rekenrente en waardestijging van de beleggingen hebben de actuele dekkingsgraden van de grote pensioenfondsen in 2021 laten stijgen tot boven de 100% per 31 december 2021 (</w:t>
      </w:r>
      <w:hyperlink r:id="rId13" w:tgtFrame="_blank" w:history="1">
        <w:r w:rsidR="00783394" w:rsidRPr="00137FB4">
          <w:rPr>
            <w:rStyle w:val="Hyperlink"/>
            <w:rFonts w:asciiTheme="minorHAnsi" w:hAnsiTheme="minorHAnsi" w:cstheme="minorHAnsi"/>
            <w:b w:val="0"/>
            <w:bCs w:val="0"/>
            <w:color w:val="auto"/>
            <w:sz w:val="24"/>
            <w:szCs w:val="24"/>
            <w:u w:val="none"/>
          </w:rPr>
          <w:t>ABP 110,2%</w:t>
        </w:r>
      </w:hyperlink>
      <w:r w:rsidR="00783394" w:rsidRPr="00137FB4">
        <w:rPr>
          <w:rFonts w:asciiTheme="minorHAnsi" w:hAnsiTheme="minorHAnsi" w:cstheme="minorHAnsi"/>
          <w:b w:val="0"/>
          <w:bCs w:val="0"/>
          <w:sz w:val="24"/>
          <w:szCs w:val="24"/>
        </w:rPr>
        <w:t>, </w:t>
      </w:r>
      <w:hyperlink r:id="rId14" w:tgtFrame="_blank" w:history="1">
        <w:r w:rsidR="00783394" w:rsidRPr="00137FB4">
          <w:rPr>
            <w:rStyle w:val="Hyperlink"/>
            <w:rFonts w:asciiTheme="minorHAnsi" w:hAnsiTheme="minorHAnsi" w:cstheme="minorHAnsi"/>
            <w:b w:val="0"/>
            <w:bCs w:val="0"/>
            <w:color w:val="auto"/>
            <w:sz w:val="24"/>
            <w:szCs w:val="24"/>
            <w:u w:val="none"/>
          </w:rPr>
          <w:t>bpfBOUW 125,1%</w:t>
        </w:r>
      </w:hyperlink>
      <w:r w:rsidR="00783394" w:rsidRPr="00137FB4">
        <w:rPr>
          <w:rFonts w:asciiTheme="minorHAnsi" w:hAnsiTheme="minorHAnsi" w:cstheme="minorHAnsi"/>
          <w:b w:val="0"/>
          <w:bCs w:val="0"/>
          <w:sz w:val="24"/>
          <w:szCs w:val="24"/>
        </w:rPr>
        <w:t> ,</w:t>
      </w:r>
      <w:hyperlink r:id="rId15" w:anchor=":~:text=De%20actuele%20dekkingsgraad%20van%20maart%202021%20is%2097%2C9%25.&amp;text=Een%20negatief%20beleggingsrendement%20zorgt%20voor,met%206%2C8%20procentpunt%20gestegen." w:tgtFrame="_blank" w:history="1">
        <w:r w:rsidR="00783394" w:rsidRPr="00137FB4">
          <w:rPr>
            <w:rStyle w:val="Hyperlink"/>
            <w:rFonts w:asciiTheme="minorHAnsi" w:hAnsiTheme="minorHAnsi" w:cstheme="minorHAnsi"/>
            <w:b w:val="0"/>
            <w:bCs w:val="0"/>
            <w:color w:val="auto"/>
            <w:sz w:val="24"/>
            <w:szCs w:val="24"/>
            <w:u w:val="none"/>
          </w:rPr>
          <w:t>PFZW 106,6%</w:t>
        </w:r>
      </w:hyperlink>
      <w:r w:rsidR="00783394" w:rsidRPr="00137FB4">
        <w:rPr>
          <w:rFonts w:asciiTheme="minorHAnsi" w:hAnsiTheme="minorHAnsi" w:cstheme="minorHAnsi"/>
          <w:b w:val="0"/>
          <w:bCs w:val="0"/>
          <w:sz w:val="24"/>
          <w:szCs w:val="24"/>
        </w:rPr>
        <w:t>, </w:t>
      </w:r>
      <w:hyperlink r:id="rId16" w:tgtFrame="_blank" w:history="1">
        <w:r w:rsidR="00783394" w:rsidRPr="00137FB4">
          <w:rPr>
            <w:rStyle w:val="Hyperlink"/>
            <w:rFonts w:asciiTheme="minorHAnsi" w:hAnsiTheme="minorHAnsi" w:cstheme="minorHAnsi"/>
            <w:b w:val="0"/>
            <w:bCs w:val="0"/>
            <w:color w:val="auto"/>
            <w:sz w:val="24"/>
            <w:szCs w:val="24"/>
            <w:u w:val="none"/>
          </w:rPr>
          <w:t>PME 107,9%</w:t>
        </w:r>
      </w:hyperlink>
      <w:r w:rsidR="00783394" w:rsidRPr="00137FB4">
        <w:rPr>
          <w:rFonts w:asciiTheme="minorHAnsi" w:hAnsiTheme="minorHAnsi" w:cstheme="minorHAnsi"/>
          <w:b w:val="0"/>
          <w:bCs w:val="0"/>
          <w:sz w:val="24"/>
          <w:szCs w:val="24"/>
        </w:rPr>
        <w:t>, </w:t>
      </w:r>
      <w:hyperlink r:id="rId17" w:tgtFrame="_blank" w:history="1">
        <w:r w:rsidR="00783394" w:rsidRPr="00137FB4">
          <w:rPr>
            <w:rStyle w:val="Hyperlink"/>
            <w:rFonts w:asciiTheme="minorHAnsi" w:hAnsiTheme="minorHAnsi" w:cstheme="minorHAnsi"/>
            <w:b w:val="0"/>
            <w:bCs w:val="0"/>
            <w:color w:val="auto"/>
            <w:sz w:val="24"/>
            <w:szCs w:val="24"/>
            <w:u w:val="none"/>
          </w:rPr>
          <w:t>PMT 106,1%</w:t>
        </w:r>
      </w:hyperlink>
      <w:r w:rsidR="00783394" w:rsidRPr="00137FB4">
        <w:rPr>
          <w:rFonts w:asciiTheme="minorHAnsi" w:hAnsiTheme="minorHAnsi" w:cstheme="minorHAnsi"/>
          <w:b w:val="0"/>
          <w:bCs w:val="0"/>
          <w:sz w:val="24"/>
          <w:szCs w:val="24"/>
        </w:rPr>
        <w:t xml:space="preserve">. De korting van de pensioenen is daarmee uit beeld geraakt. Zelfs een gedeeltelijke indexering en verhoging van pensioenuitkeringen is dit jaar wellicht nog mogelijk. Daarvoor moet wel eerst de zogenaamde beleidsdekkingsgraad (het gemiddelde van de laatste 12 actuele dekkingsgraden) hoog genoeg zijn. Nu moet die nog 110% zijn, maar waarschijnlijk wordt dat </w:t>
      </w:r>
      <w:r w:rsidR="00783394" w:rsidRPr="00137FB4">
        <w:rPr>
          <w:rFonts w:asciiTheme="minorHAnsi" w:hAnsiTheme="minorHAnsi" w:cstheme="minorHAnsi"/>
          <w:b w:val="0"/>
          <w:bCs w:val="0"/>
          <w:sz w:val="24"/>
          <w:szCs w:val="24"/>
        </w:rPr>
        <w:lastRenderedPageBreak/>
        <w:t>met terugwerkende kracht tot 1 januari verlaagd naar 105% (zie ons </w:t>
      </w:r>
      <w:hyperlink r:id="rId18" w:tgtFrame="_blank" w:history="1">
        <w:r w:rsidR="00783394" w:rsidRPr="00137FB4">
          <w:rPr>
            <w:rStyle w:val="Hyperlink"/>
            <w:rFonts w:asciiTheme="minorHAnsi" w:hAnsiTheme="minorHAnsi" w:cstheme="minorHAnsi"/>
            <w:b w:val="0"/>
            <w:bCs w:val="0"/>
            <w:color w:val="auto"/>
            <w:sz w:val="24"/>
            <w:szCs w:val="24"/>
            <w:u w:val="none"/>
          </w:rPr>
          <w:t>nieuwsbericht</w:t>
        </w:r>
      </w:hyperlink>
      <w:r w:rsidR="00783394" w:rsidRPr="00137FB4">
        <w:rPr>
          <w:rFonts w:asciiTheme="minorHAnsi" w:hAnsiTheme="minorHAnsi" w:cstheme="minorHAnsi"/>
          <w:b w:val="0"/>
          <w:bCs w:val="0"/>
          <w:sz w:val="24"/>
          <w:szCs w:val="24"/>
        </w:rPr>
        <w:t>). Alleen BpfBouw kan nu al de pensioenen verhogen. Bij de overige grote pensioenfondsen zit de beleidsdekkingsgraad per 31 december nog onder de 105%. Wel staan ze allemaal achter het plan tot verlaging van de grens naar 105% en overwegen ze verhoging zodra de beleidsdekkingsgraad die grens gepasseerd is (wellicht nog in 2022).</w:t>
      </w:r>
      <w:r w:rsidR="00783394" w:rsidRPr="00137FB4">
        <w:rPr>
          <w:rFonts w:asciiTheme="minorHAnsi" w:hAnsiTheme="minorHAnsi" w:cstheme="minorHAnsi"/>
          <w:b w:val="0"/>
          <w:bCs w:val="0"/>
          <w:color w:val="2D2D2D"/>
          <w:sz w:val="24"/>
          <w:szCs w:val="24"/>
        </w:rPr>
        <w:t> </w:t>
      </w:r>
    </w:p>
    <w:p w14:paraId="0243BA88" w14:textId="2F31C619" w:rsidR="00783394" w:rsidRDefault="00783394" w:rsidP="00783394">
      <w:pPr>
        <w:pStyle w:val="Kop3"/>
        <w:shd w:val="clear" w:color="auto" w:fill="FFFFFF"/>
        <w:rPr>
          <w:rFonts w:ascii="Arial" w:hAnsi="Arial" w:cs="Arial"/>
          <w:color w:val="F68B1F"/>
          <w:sz w:val="27"/>
          <w:szCs w:val="27"/>
        </w:rPr>
      </w:pPr>
      <w:r>
        <w:rPr>
          <w:rFonts w:ascii="Arial" w:hAnsi="Arial" w:cs="Arial"/>
          <w:color w:val="F68B1F"/>
        </w:rPr>
        <w:t>l:</w:t>
      </w:r>
    </w:p>
    <w:p w14:paraId="144CBAA9" w14:textId="77777777" w:rsidR="00123C56" w:rsidRDefault="00123C56"/>
    <w:sectPr w:rsidR="00123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94"/>
    <w:rsid w:val="00123C56"/>
    <w:rsid w:val="00137FB4"/>
    <w:rsid w:val="001D2E1D"/>
    <w:rsid w:val="002D6162"/>
    <w:rsid w:val="00347A6D"/>
    <w:rsid w:val="00595669"/>
    <w:rsid w:val="005B62BF"/>
    <w:rsid w:val="0077706C"/>
    <w:rsid w:val="00783394"/>
    <w:rsid w:val="00830B79"/>
    <w:rsid w:val="00E33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9901"/>
  <w15:chartTrackingRefBased/>
  <w15:docId w15:val="{5C2BB5F1-6D61-45C0-8E88-0B838C9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83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783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3394"/>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783394"/>
    <w:rPr>
      <w:color w:val="0000FF"/>
      <w:u w:val="single"/>
    </w:rPr>
  </w:style>
  <w:style w:type="paragraph" w:styleId="Normaalweb">
    <w:name w:val="Normal (Web)"/>
    <w:basedOn w:val="Standaard"/>
    <w:uiPriority w:val="99"/>
    <w:semiHidden/>
    <w:unhideWhenUsed/>
    <w:rsid w:val="007833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3394"/>
    <w:rPr>
      <w:b/>
      <w:bCs/>
    </w:rPr>
  </w:style>
  <w:style w:type="character" w:customStyle="1" w:styleId="Kop3Char">
    <w:name w:val="Kop 3 Char"/>
    <w:basedOn w:val="Standaardalinea-lettertype"/>
    <w:link w:val="Kop3"/>
    <w:uiPriority w:val="9"/>
    <w:semiHidden/>
    <w:rsid w:val="00783394"/>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830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088">
      <w:bodyDiv w:val="1"/>
      <w:marLeft w:val="0"/>
      <w:marRight w:val="0"/>
      <w:marTop w:val="0"/>
      <w:marBottom w:val="0"/>
      <w:divBdr>
        <w:top w:val="none" w:sz="0" w:space="0" w:color="auto"/>
        <w:left w:val="none" w:sz="0" w:space="0" w:color="auto"/>
        <w:bottom w:val="none" w:sz="0" w:space="0" w:color="auto"/>
        <w:right w:val="none" w:sz="0" w:space="0" w:color="auto"/>
      </w:divBdr>
      <w:divsChild>
        <w:div w:id="1142425341">
          <w:marLeft w:val="0"/>
          <w:marRight w:val="0"/>
          <w:marTop w:val="0"/>
          <w:marBottom w:val="300"/>
          <w:divBdr>
            <w:top w:val="none" w:sz="0" w:space="0" w:color="auto"/>
            <w:left w:val="none" w:sz="0" w:space="0" w:color="auto"/>
            <w:bottom w:val="none" w:sz="0" w:space="0" w:color="auto"/>
            <w:right w:val="none" w:sz="0" w:space="0" w:color="auto"/>
          </w:divBdr>
          <w:divsChild>
            <w:div w:id="829907041">
              <w:marLeft w:val="0"/>
              <w:marRight w:val="0"/>
              <w:marTop w:val="0"/>
              <w:marBottom w:val="0"/>
              <w:divBdr>
                <w:top w:val="none" w:sz="0" w:space="0" w:color="auto"/>
                <w:left w:val="none" w:sz="0" w:space="0" w:color="auto"/>
                <w:bottom w:val="none" w:sz="0" w:space="0" w:color="auto"/>
                <w:right w:val="none" w:sz="0" w:space="0" w:color="auto"/>
              </w:divBdr>
              <w:divsChild>
                <w:div w:id="1050768677">
                  <w:marLeft w:val="0"/>
                  <w:marRight w:val="0"/>
                  <w:marTop w:val="0"/>
                  <w:marBottom w:val="0"/>
                  <w:divBdr>
                    <w:top w:val="none" w:sz="0" w:space="0" w:color="auto"/>
                    <w:left w:val="none" w:sz="0" w:space="0" w:color="auto"/>
                    <w:bottom w:val="none" w:sz="0" w:space="0" w:color="auto"/>
                    <w:right w:val="none" w:sz="0" w:space="0" w:color="auto"/>
                  </w:divBdr>
                  <w:divsChild>
                    <w:div w:id="13436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6588">
              <w:marLeft w:val="-60"/>
              <w:marRight w:val="0"/>
              <w:marTop w:val="0"/>
              <w:marBottom w:val="0"/>
              <w:divBdr>
                <w:top w:val="none" w:sz="0" w:space="0" w:color="auto"/>
                <w:left w:val="none" w:sz="0" w:space="0" w:color="auto"/>
                <w:bottom w:val="none" w:sz="0" w:space="0" w:color="auto"/>
                <w:right w:val="none" w:sz="0" w:space="0" w:color="auto"/>
              </w:divBdr>
            </w:div>
          </w:divsChild>
        </w:div>
        <w:div w:id="640309742">
          <w:marLeft w:val="0"/>
          <w:marRight w:val="0"/>
          <w:marTop w:val="0"/>
          <w:marBottom w:val="0"/>
          <w:divBdr>
            <w:top w:val="none" w:sz="0" w:space="0" w:color="auto"/>
            <w:left w:val="none" w:sz="0" w:space="0" w:color="auto"/>
            <w:bottom w:val="none" w:sz="0" w:space="0" w:color="auto"/>
            <w:right w:val="none" w:sz="0" w:space="0" w:color="auto"/>
          </w:divBdr>
          <w:divsChild>
            <w:div w:id="783378120">
              <w:marLeft w:val="0"/>
              <w:marRight w:val="0"/>
              <w:marTop w:val="0"/>
              <w:marBottom w:val="0"/>
              <w:divBdr>
                <w:top w:val="none" w:sz="0" w:space="0" w:color="auto"/>
                <w:left w:val="none" w:sz="0" w:space="0" w:color="auto"/>
                <w:bottom w:val="none" w:sz="0" w:space="0" w:color="auto"/>
                <w:right w:val="none" w:sz="0" w:space="0" w:color="auto"/>
              </w:divBdr>
              <w:divsChild>
                <w:div w:id="966280208">
                  <w:marLeft w:val="0"/>
                  <w:marRight w:val="0"/>
                  <w:marTop w:val="0"/>
                  <w:marBottom w:val="0"/>
                  <w:divBdr>
                    <w:top w:val="none" w:sz="0" w:space="0" w:color="auto"/>
                    <w:left w:val="none" w:sz="0" w:space="0" w:color="auto"/>
                    <w:bottom w:val="none" w:sz="0" w:space="0" w:color="auto"/>
                    <w:right w:val="none" w:sz="0" w:space="0" w:color="auto"/>
                  </w:divBdr>
                  <w:divsChild>
                    <w:div w:id="578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0695">
          <w:marLeft w:val="0"/>
          <w:marRight w:val="0"/>
          <w:marTop w:val="450"/>
          <w:marBottom w:val="0"/>
          <w:divBdr>
            <w:top w:val="single" w:sz="6" w:space="19" w:color="E2E2E2"/>
            <w:left w:val="none" w:sz="0" w:space="0" w:color="auto"/>
            <w:bottom w:val="none" w:sz="0" w:space="0" w:color="auto"/>
            <w:right w:val="none" w:sz="0" w:space="0" w:color="auto"/>
          </w:divBdr>
        </w:div>
      </w:divsChild>
    </w:div>
    <w:div w:id="601957123">
      <w:bodyDiv w:val="1"/>
      <w:marLeft w:val="0"/>
      <w:marRight w:val="0"/>
      <w:marTop w:val="0"/>
      <w:marBottom w:val="0"/>
      <w:divBdr>
        <w:top w:val="none" w:sz="0" w:space="0" w:color="auto"/>
        <w:left w:val="none" w:sz="0" w:space="0" w:color="auto"/>
        <w:bottom w:val="none" w:sz="0" w:space="0" w:color="auto"/>
        <w:right w:val="none" w:sz="0" w:space="0" w:color="auto"/>
      </w:divBdr>
      <w:divsChild>
        <w:div w:id="798184719">
          <w:marLeft w:val="0"/>
          <w:marRight w:val="0"/>
          <w:marTop w:val="0"/>
          <w:marBottom w:val="300"/>
          <w:divBdr>
            <w:top w:val="none" w:sz="0" w:space="0" w:color="auto"/>
            <w:left w:val="none" w:sz="0" w:space="0" w:color="auto"/>
            <w:bottom w:val="none" w:sz="0" w:space="0" w:color="auto"/>
            <w:right w:val="none" w:sz="0" w:space="0" w:color="auto"/>
          </w:divBdr>
          <w:divsChild>
            <w:div w:id="1315598403">
              <w:marLeft w:val="0"/>
              <w:marRight w:val="0"/>
              <w:marTop w:val="0"/>
              <w:marBottom w:val="0"/>
              <w:divBdr>
                <w:top w:val="none" w:sz="0" w:space="0" w:color="auto"/>
                <w:left w:val="none" w:sz="0" w:space="0" w:color="auto"/>
                <w:bottom w:val="none" w:sz="0" w:space="0" w:color="auto"/>
                <w:right w:val="none" w:sz="0" w:space="0" w:color="auto"/>
              </w:divBdr>
              <w:divsChild>
                <w:div w:id="389884529">
                  <w:marLeft w:val="0"/>
                  <w:marRight w:val="0"/>
                  <w:marTop w:val="0"/>
                  <w:marBottom w:val="0"/>
                  <w:divBdr>
                    <w:top w:val="none" w:sz="0" w:space="0" w:color="auto"/>
                    <w:left w:val="none" w:sz="0" w:space="0" w:color="auto"/>
                    <w:bottom w:val="none" w:sz="0" w:space="0" w:color="auto"/>
                    <w:right w:val="none" w:sz="0" w:space="0" w:color="auto"/>
                  </w:divBdr>
                  <w:divsChild>
                    <w:div w:id="10118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6921">
              <w:marLeft w:val="-60"/>
              <w:marRight w:val="0"/>
              <w:marTop w:val="0"/>
              <w:marBottom w:val="0"/>
              <w:divBdr>
                <w:top w:val="none" w:sz="0" w:space="0" w:color="auto"/>
                <w:left w:val="none" w:sz="0" w:space="0" w:color="auto"/>
                <w:bottom w:val="none" w:sz="0" w:space="0" w:color="auto"/>
                <w:right w:val="none" w:sz="0" w:space="0" w:color="auto"/>
              </w:divBdr>
            </w:div>
          </w:divsChild>
        </w:div>
        <w:div w:id="1368944772">
          <w:marLeft w:val="0"/>
          <w:marRight w:val="0"/>
          <w:marTop w:val="0"/>
          <w:marBottom w:val="0"/>
          <w:divBdr>
            <w:top w:val="none" w:sz="0" w:space="0" w:color="auto"/>
            <w:left w:val="none" w:sz="0" w:space="0" w:color="auto"/>
            <w:bottom w:val="none" w:sz="0" w:space="0" w:color="auto"/>
            <w:right w:val="none" w:sz="0" w:space="0" w:color="auto"/>
          </w:divBdr>
          <w:divsChild>
            <w:div w:id="167255418">
              <w:marLeft w:val="0"/>
              <w:marRight w:val="0"/>
              <w:marTop w:val="0"/>
              <w:marBottom w:val="0"/>
              <w:divBdr>
                <w:top w:val="none" w:sz="0" w:space="0" w:color="auto"/>
                <w:left w:val="none" w:sz="0" w:space="0" w:color="auto"/>
                <w:bottom w:val="none" w:sz="0" w:space="0" w:color="auto"/>
                <w:right w:val="none" w:sz="0" w:space="0" w:color="auto"/>
              </w:divBdr>
              <w:divsChild>
                <w:div w:id="369647373">
                  <w:marLeft w:val="0"/>
                  <w:marRight w:val="0"/>
                  <w:marTop w:val="0"/>
                  <w:marBottom w:val="0"/>
                  <w:divBdr>
                    <w:top w:val="none" w:sz="0" w:space="0" w:color="auto"/>
                    <w:left w:val="none" w:sz="0" w:space="0" w:color="auto"/>
                    <w:bottom w:val="none" w:sz="0" w:space="0" w:color="auto"/>
                    <w:right w:val="none" w:sz="0" w:space="0" w:color="auto"/>
                  </w:divBdr>
                  <w:divsChild>
                    <w:div w:id="9114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6164">
      <w:bodyDiv w:val="1"/>
      <w:marLeft w:val="0"/>
      <w:marRight w:val="0"/>
      <w:marTop w:val="0"/>
      <w:marBottom w:val="0"/>
      <w:divBdr>
        <w:top w:val="none" w:sz="0" w:space="0" w:color="auto"/>
        <w:left w:val="none" w:sz="0" w:space="0" w:color="auto"/>
        <w:bottom w:val="none" w:sz="0" w:space="0" w:color="auto"/>
        <w:right w:val="none" w:sz="0" w:space="0" w:color="auto"/>
      </w:divBdr>
      <w:divsChild>
        <w:div w:id="1848908729">
          <w:marLeft w:val="0"/>
          <w:marRight w:val="0"/>
          <w:marTop w:val="0"/>
          <w:marBottom w:val="300"/>
          <w:divBdr>
            <w:top w:val="none" w:sz="0" w:space="0" w:color="auto"/>
            <w:left w:val="none" w:sz="0" w:space="0" w:color="auto"/>
            <w:bottom w:val="none" w:sz="0" w:space="0" w:color="auto"/>
            <w:right w:val="none" w:sz="0" w:space="0" w:color="auto"/>
          </w:divBdr>
          <w:divsChild>
            <w:div w:id="1878542627">
              <w:marLeft w:val="0"/>
              <w:marRight w:val="0"/>
              <w:marTop w:val="0"/>
              <w:marBottom w:val="0"/>
              <w:divBdr>
                <w:top w:val="none" w:sz="0" w:space="0" w:color="auto"/>
                <w:left w:val="none" w:sz="0" w:space="0" w:color="auto"/>
                <w:bottom w:val="none" w:sz="0" w:space="0" w:color="auto"/>
                <w:right w:val="none" w:sz="0" w:space="0" w:color="auto"/>
              </w:divBdr>
              <w:divsChild>
                <w:div w:id="2130776238">
                  <w:marLeft w:val="0"/>
                  <w:marRight w:val="0"/>
                  <w:marTop w:val="0"/>
                  <w:marBottom w:val="0"/>
                  <w:divBdr>
                    <w:top w:val="none" w:sz="0" w:space="0" w:color="auto"/>
                    <w:left w:val="none" w:sz="0" w:space="0" w:color="auto"/>
                    <w:bottom w:val="none" w:sz="0" w:space="0" w:color="auto"/>
                    <w:right w:val="none" w:sz="0" w:space="0" w:color="auto"/>
                  </w:divBdr>
                  <w:divsChild>
                    <w:div w:id="15737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610">
              <w:marLeft w:val="-60"/>
              <w:marRight w:val="0"/>
              <w:marTop w:val="0"/>
              <w:marBottom w:val="0"/>
              <w:divBdr>
                <w:top w:val="none" w:sz="0" w:space="0" w:color="auto"/>
                <w:left w:val="none" w:sz="0" w:space="0" w:color="auto"/>
                <w:bottom w:val="none" w:sz="0" w:space="0" w:color="auto"/>
                <w:right w:val="none" w:sz="0" w:space="0" w:color="auto"/>
              </w:divBdr>
            </w:div>
          </w:divsChild>
        </w:div>
        <w:div w:id="1543782595">
          <w:marLeft w:val="0"/>
          <w:marRight w:val="0"/>
          <w:marTop w:val="0"/>
          <w:marBottom w:val="0"/>
          <w:divBdr>
            <w:top w:val="none" w:sz="0" w:space="0" w:color="auto"/>
            <w:left w:val="none" w:sz="0" w:space="0" w:color="auto"/>
            <w:bottom w:val="none" w:sz="0" w:space="0" w:color="auto"/>
            <w:right w:val="none" w:sz="0" w:space="0" w:color="auto"/>
          </w:divBdr>
          <w:divsChild>
            <w:div w:id="85928979">
              <w:marLeft w:val="0"/>
              <w:marRight w:val="0"/>
              <w:marTop w:val="0"/>
              <w:marBottom w:val="0"/>
              <w:divBdr>
                <w:top w:val="none" w:sz="0" w:space="0" w:color="auto"/>
                <w:left w:val="none" w:sz="0" w:space="0" w:color="auto"/>
                <w:bottom w:val="none" w:sz="0" w:space="0" w:color="auto"/>
                <w:right w:val="none" w:sz="0" w:space="0" w:color="auto"/>
              </w:divBdr>
              <w:divsChild>
                <w:div w:id="844588206">
                  <w:marLeft w:val="0"/>
                  <w:marRight w:val="0"/>
                  <w:marTop w:val="0"/>
                  <w:marBottom w:val="0"/>
                  <w:divBdr>
                    <w:top w:val="none" w:sz="0" w:space="0" w:color="auto"/>
                    <w:left w:val="none" w:sz="0" w:space="0" w:color="auto"/>
                    <w:bottom w:val="none" w:sz="0" w:space="0" w:color="auto"/>
                    <w:right w:val="none" w:sz="0" w:space="0" w:color="auto"/>
                  </w:divBdr>
                  <w:divsChild>
                    <w:div w:id="555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7927">
          <w:marLeft w:val="0"/>
          <w:marRight w:val="0"/>
          <w:marTop w:val="450"/>
          <w:marBottom w:val="0"/>
          <w:divBdr>
            <w:top w:val="single" w:sz="6" w:space="19" w:color="E2E2E2"/>
            <w:left w:val="none" w:sz="0" w:space="0" w:color="auto"/>
            <w:bottom w:val="none" w:sz="0" w:space="0" w:color="auto"/>
            <w:right w:val="none" w:sz="0" w:space="0" w:color="auto"/>
          </w:divBdr>
        </w:div>
      </w:divsChild>
    </w:div>
    <w:div w:id="1568029974">
      <w:bodyDiv w:val="1"/>
      <w:marLeft w:val="0"/>
      <w:marRight w:val="0"/>
      <w:marTop w:val="0"/>
      <w:marBottom w:val="0"/>
      <w:divBdr>
        <w:top w:val="none" w:sz="0" w:space="0" w:color="auto"/>
        <w:left w:val="none" w:sz="0" w:space="0" w:color="auto"/>
        <w:bottom w:val="none" w:sz="0" w:space="0" w:color="auto"/>
        <w:right w:val="none" w:sz="0" w:space="0" w:color="auto"/>
      </w:divBdr>
      <w:divsChild>
        <w:div w:id="488981372">
          <w:marLeft w:val="0"/>
          <w:marRight w:val="0"/>
          <w:marTop w:val="0"/>
          <w:marBottom w:val="300"/>
          <w:divBdr>
            <w:top w:val="none" w:sz="0" w:space="0" w:color="auto"/>
            <w:left w:val="none" w:sz="0" w:space="0" w:color="auto"/>
            <w:bottom w:val="none" w:sz="0" w:space="0" w:color="auto"/>
            <w:right w:val="none" w:sz="0" w:space="0" w:color="auto"/>
          </w:divBdr>
          <w:divsChild>
            <w:div w:id="1966694550">
              <w:marLeft w:val="0"/>
              <w:marRight w:val="0"/>
              <w:marTop w:val="0"/>
              <w:marBottom w:val="0"/>
              <w:divBdr>
                <w:top w:val="none" w:sz="0" w:space="0" w:color="auto"/>
                <w:left w:val="none" w:sz="0" w:space="0" w:color="auto"/>
                <w:bottom w:val="none" w:sz="0" w:space="0" w:color="auto"/>
                <w:right w:val="none" w:sz="0" w:space="0" w:color="auto"/>
              </w:divBdr>
              <w:divsChild>
                <w:div w:id="1159804992">
                  <w:marLeft w:val="0"/>
                  <w:marRight w:val="0"/>
                  <w:marTop w:val="0"/>
                  <w:marBottom w:val="0"/>
                  <w:divBdr>
                    <w:top w:val="none" w:sz="0" w:space="0" w:color="auto"/>
                    <w:left w:val="none" w:sz="0" w:space="0" w:color="auto"/>
                    <w:bottom w:val="none" w:sz="0" w:space="0" w:color="auto"/>
                    <w:right w:val="none" w:sz="0" w:space="0" w:color="auto"/>
                  </w:divBdr>
                  <w:divsChild>
                    <w:div w:id="7025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537">
              <w:marLeft w:val="-60"/>
              <w:marRight w:val="0"/>
              <w:marTop w:val="0"/>
              <w:marBottom w:val="0"/>
              <w:divBdr>
                <w:top w:val="none" w:sz="0" w:space="0" w:color="auto"/>
                <w:left w:val="none" w:sz="0" w:space="0" w:color="auto"/>
                <w:bottom w:val="none" w:sz="0" w:space="0" w:color="auto"/>
                <w:right w:val="none" w:sz="0" w:space="0" w:color="auto"/>
              </w:divBdr>
            </w:div>
          </w:divsChild>
        </w:div>
        <w:div w:id="766343526">
          <w:marLeft w:val="0"/>
          <w:marRight w:val="0"/>
          <w:marTop w:val="0"/>
          <w:marBottom w:val="0"/>
          <w:divBdr>
            <w:top w:val="none" w:sz="0" w:space="0" w:color="auto"/>
            <w:left w:val="none" w:sz="0" w:space="0" w:color="auto"/>
            <w:bottom w:val="none" w:sz="0" w:space="0" w:color="auto"/>
            <w:right w:val="none" w:sz="0" w:space="0" w:color="auto"/>
          </w:divBdr>
          <w:divsChild>
            <w:div w:id="222715261">
              <w:marLeft w:val="0"/>
              <w:marRight w:val="0"/>
              <w:marTop w:val="0"/>
              <w:marBottom w:val="0"/>
              <w:divBdr>
                <w:top w:val="none" w:sz="0" w:space="0" w:color="auto"/>
                <w:left w:val="none" w:sz="0" w:space="0" w:color="auto"/>
                <w:bottom w:val="none" w:sz="0" w:space="0" w:color="auto"/>
                <w:right w:val="none" w:sz="0" w:space="0" w:color="auto"/>
              </w:divBdr>
              <w:divsChild>
                <w:div w:id="1422530445">
                  <w:marLeft w:val="0"/>
                  <w:marRight w:val="0"/>
                  <w:marTop w:val="0"/>
                  <w:marBottom w:val="0"/>
                  <w:divBdr>
                    <w:top w:val="none" w:sz="0" w:space="0" w:color="auto"/>
                    <w:left w:val="none" w:sz="0" w:space="0" w:color="auto"/>
                    <w:bottom w:val="none" w:sz="0" w:space="0" w:color="auto"/>
                    <w:right w:val="none" w:sz="0" w:space="0" w:color="auto"/>
                  </w:divBdr>
                  <w:divsChild>
                    <w:div w:id="300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t.nl/over-pmt/nieuws/berichten/op-5-juli-besluit-over-indexatie/" TargetMode="External"/><Relationship Id="rId13" Type="http://schemas.openxmlformats.org/officeDocument/2006/relationships/hyperlink" Target="https://www.abp.nl/over-abp/actueel/nieuws/terugblik-2021-een-goed-jaar-voor-financiele-positie.aspx" TargetMode="External"/><Relationship Id="rId18" Type="http://schemas.openxmlformats.org/officeDocument/2006/relationships/hyperlink" Target="https://www.fiscalert.nl/pensioen/nieuws-en-tips/pensioenindexatie-eerder-toegestaan" TargetMode="External"/><Relationship Id="rId3" Type="http://schemas.openxmlformats.org/officeDocument/2006/relationships/settings" Target="settings.xml"/><Relationship Id="rId7" Type="http://schemas.openxmlformats.org/officeDocument/2006/relationships/hyperlink" Target="https://www.pfzw.nl/over-pfzw/actueel.html" TargetMode="External"/><Relationship Id="rId12" Type="http://schemas.openxmlformats.org/officeDocument/2006/relationships/hyperlink" Target="mailto:info@mijnpensioenoverzicht.nl" TargetMode="External"/><Relationship Id="rId17" Type="http://schemas.openxmlformats.org/officeDocument/2006/relationships/hyperlink" Target="https://www.pmt.nl/over-pmt/nieuws/berichten/verbetering-van-de-dekkingsgraad-in-2021/" TargetMode="External"/><Relationship Id="rId2" Type="http://schemas.openxmlformats.org/officeDocument/2006/relationships/styles" Target="styles.xml"/><Relationship Id="rId16" Type="http://schemas.openxmlformats.org/officeDocument/2006/relationships/hyperlink" Target="https://www.pmepensioen.nl/nieuws/2021-kwartaalbericht-vierde-kwarta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bp.nl/over-abp/actueel/nieuws/uw-pensioen-wordt-verhoogd-met-2-komma-39-procent.aspx" TargetMode="External"/><Relationship Id="rId11" Type="http://schemas.openxmlformats.org/officeDocument/2006/relationships/hyperlink" Target="https://www.mijnpensioenoverzicht.nl/" TargetMode="External"/><Relationship Id="rId5" Type="http://schemas.openxmlformats.org/officeDocument/2006/relationships/hyperlink" Target="https://www.pmepensioen.nl/nieuws/2022-pme-verhoogt-pensioenen" TargetMode="External"/><Relationship Id="rId15" Type="http://schemas.openxmlformats.org/officeDocument/2006/relationships/hyperlink" Target="https://www.pfzw.nl/over-ons/dit-presteren-we/dekkingsgraad.html" TargetMode="External"/><Relationship Id="rId10" Type="http://schemas.openxmlformats.org/officeDocument/2006/relationships/hyperlink" Target="http://www.taxlive.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fzw.nl/over-pfzw/actueel/pfzw-verhoogt-pensioenen-met-2-7-.html" TargetMode="External"/><Relationship Id="rId14" Type="http://schemas.openxmlformats.org/officeDocument/2006/relationships/hyperlink" Target="https://www.bpfbouw.nl/over-bpfbouw/nieuws/nieuwsoverzicht/dekkingsgraad-bpfBOUW-omhoog-naar-125.1.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FE5A-2FC7-4A7E-885C-7063D443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826</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7</cp:revision>
  <dcterms:created xsi:type="dcterms:W3CDTF">2022-06-27T17:14:00Z</dcterms:created>
  <dcterms:modified xsi:type="dcterms:W3CDTF">2022-07-01T14:30:00Z</dcterms:modified>
</cp:coreProperties>
</file>